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1B9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700" w:lineRule="exact"/>
        <w:jc w:val="center"/>
        <w:textAlignment w:val="auto"/>
        <w:outlineLvl w:val="0"/>
        <w:rPr>
          <w:rFonts w:hint="eastAsia" w:ascii="方正小标宋简体" w:hAnsi="宋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</w:rPr>
        <w:t>湖北隆中实验室吸引高端人才支持办法</w:t>
      </w:r>
    </w:p>
    <w:p w14:paraId="1F0404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700" w:lineRule="exact"/>
        <w:jc w:val="center"/>
        <w:textAlignment w:val="auto"/>
        <w:outlineLvl w:val="0"/>
        <w:rPr>
          <w:rFonts w:hint="eastAsia" w:ascii="方正小标宋简体" w:hAnsi="宋体" w:eastAsia="方正小标宋简体" w:cs="Times New Roman"/>
          <w:kern w:val="2"/>
          <w:sz w:val="44"/>
          <w:szCs w:val="44"/>
        </w:rPr>
      </w:pPr>
    </w:p>
    <w:p w14:paraId="4E0C5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both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highlight w:val="none"/>
        </w:rPr>
        <w:t>第一条</w:t>
      </w:r>
      <w:r>
        <w:rPr>
          <w:rFonts w:ascii="仿宋_GB2312" w:hAnsi="Times New Roman" w:eastAsia="仿宋_GB2312"/>
          <w:b/>
          <w:bCs/>
          <w:sz w:val="32"/>
          <w:szCs w:val="32"/>
          <w:highlight w:val="none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为做好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湖北隆中实验室（以下简称“隆中实验室”）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高端人才引进、服务与管理工作，广泛吸引和汇聚海内外新能源与新材料等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领域隆中实验室需要的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高端人才，充分发挥高端人才引领作用，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促进隆中实验室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取得高水平标志性成果，制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定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本办法。</w:t>
      </w:r>
    </w:p>
    <w:p w14:paraId="32220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both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highlight w:val="none"/>
        </w:rPr>
        <w:t>第二条</w:t>
      </w:r>
      <w:r>
        <w:rPr>
          <w:rFonts w:ascii="仿宋_GB2312" w:hAnsi="Times New Roman" w:eastAsia="仿宋_GB2312"/>
          <w:b/>
          <w:bCs/>
          <w:sz w:val="32"/>
          <w:szCs w:val="32"/>
          <w:highlight w:val="none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本办法所指的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高端人才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指以下五类人员：</w:t>
      </w:r>
    </w:p>
    <w:p w14:paraId="3A9DB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（一）院士</w:t>
      </w:r>
    </w:p>
    <w:p w14:paraId="1A16C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中国科学院和中国工程院院士，欧美等发达国家院士及特需其他国家院士；</w:t>
      </w:r>
    </w:p>
    <w:p w14:paraId="0AC12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（二）领军人才</w:t>
      </w:r>
    </w:p>
    <w:p w14:paraId="7578D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按国家相关人才工程界定。</w:t>
      </w:r>
    </w:p>
    <w:p w14:paraId="7166A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（三）青年拔尖创新人才</w:t>
      </w:r>
    </w:p>
    <w:p w14:paraId="37D2D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按国家相关人才工程界定，含相当省一级人才工程入选者。</w:t>
      </w:r>
    </w:p>
    <w:p w14:paraId="2D63A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（四）特聘专家、研究员</w:t>
      </w:r>
    </w:p>
    <w:p w14:paraId="1E7E8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隆中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实验室主任提名特聘的具有很高学术造诣、高度全球视野和高度责任感的专家，负责指导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隆中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实验室发展、项目立项审查、年度和期终考核等工作。</w:t>
      </w:r>
    </w:p>
    <w:p w14:paraId="7203F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研究员按原所在单位职称界定。</w:t>
      </w:r>
    </w:p>
    <w:p w14:paraId="4F26E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（五）副研究员</w:t>
      </w:r>
    </w:p>
    <w:p w14:paraId="73202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副研究员按原所在单位职称界定。</w:t>
      </w:r>
    </w:p>
    <w:p w14:paraId="6A9E2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both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b/>
          <w:sz w:val="32"/>
          <w:szCs w:val="32"/>
          <w:highlight w:val="none"/>
          <w:lang w:val="en-US" w:eastAsia="zh-CN"/>
        </w:rPr>
        <w:t xml:space="preserve">第三条 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高端人才实行双聘制，隆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中实验室向高端人才颁发聘书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。</w:t>
      </w:r>
    </w:p>
    <w:p w14:paraId="4D725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both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b/>
          <w:sz w:val="32"/>
          <w:szCs w:val="32"/>
          <w:highlight w:val="none"/>
        </w:rPr>
        <w:t>第</w:t>
      </w:r>
      <w:r>
        <w:rPr>
          <w:rFonts w:hint="eastAsia" w:ascii="仿宋_GB2312" w:hAnsi="Times New Roman" w:eastAsia="仿宋_GB2312"/>
          <w:b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Times New Roman" w:eastAsia="仿宋_GB2312"/>
          <w:b/>
          <w:sz w:val="32"/>
          <w:szCs w:val="32"/>
          <w:highlight w:val="none"/>
        </w:rPr>
        <w:t>条</w:t>
      </w:r>
      <w:r>
        <w:rPr>
          <w:rFonts w:ascii="仿宋_GB2312" w:hAnsi="Times New Roman" w:eastAsia="仿宋_GB2312"/>
          <w:b/>
          <w:sz w:val="32"/>
          <w:szCs w:val="32"/>
          <w:highlight w:val="none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高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端人才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按为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隆中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实验室工作时间、贡献和人才层次发放工作津贴。</w:t>
      </w:r>
    </w:p>
    <w:p w14:paraId="43E41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全年工作津贴参考标准为：</w:t>
      </w:r>
    </w:p>
    <w:p w14:paraId="78496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（一）院士：工作津贴1</w:t>
      </w:r>
      <w:r>
        <w:rPr>
          <w:rFonts w:ascii="仿宋_GB2312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0万元/年；</w:t>
      </w:r>
    </w:p>
    <w:p w14:paraId="66FF9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（二）领军人才：工作津贴</w:t>
      </w:r>
      <w:r>
        <w:rPr>
          <w:rFonts w:ascii="仿宋_GB2312" w:hAnsi="Times New Roman" w:eastAsia="仿宋_GB2312"/>
          <w:sz w:val="32"/>
          <w:szCs w:val="32"/>
          <w:highlight w:val="none"/>
        </w:rPr>
        <w:t>80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万元/年；</w:t>
      </w:r>
    </w:p>
    <w:p w14:paraId="0658F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（三）青年拔尖创新人才：工作津贴</w:t>
      </w:r>
      <w:r>
        <w:rPr>
          <w:rFonts w:ascii="仿宋_GB2312" w:hAnsi="Times New Roman" w:eastAsia="仿宋_GB2312"/>
          <w:sz w:val="32"/>
          <w:szCs w:val="32"/>
          <w:highlight w:val="none"/>
        </w:rPr>
        <w:t>50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万元/年；</w:t>
      </w:r>
    </w:p>
    <w:p w14:paraId="69903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（四）特聘专家、研究员：工作津贴</w:t>
      </w:r>
      <w:r>
        <w:rPr>
          <w:rFonts w:ascii="仿宋_GB2312" w:hAnsi="Times New Roman" w:eastAsia="仿宋_GB2312"/>
          <w:sz w:val="32"/>
          <w:szCs w:val="32"/>
          <w:highlight w:val="none"/>
        </w:rPr>
        <w:t>30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万元/年；</w:t>
      </w:r>
    </w:p>
    <w:p w14:paraId="55A7B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（五）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副研究员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工作津贴20万/年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。</w:t>
      </w:r>
    </w:p>
    <w:p w14:paraId="004E5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为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隆中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实验室累计全年工作时间1个月以上的，根据工作时间和贡献发放适当工作津贴。</w:t>
      </w:r>
    </w:p>
    <w:p w14:paraId="55479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其他为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隆中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实验室做出贡献的人员，可按次根据工作时间和贡献发放适当酬金。</w:t>
      </w:r>
    </w:p>
    <w:p w14:paraId="220A9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both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b/>
          <w:sz w:val="32"/>
          <w:szCs w:val="32"/>
          <w:highlight w:val="none"/>
        </w:rPr>
        <w:t>第</w:t>
      </w:r>
      <w:r>
        <w:rPr>
          <w:rFonts w:hint="eastAsia" w:ascii="仿宋_GB2312" w:hAnsi="Times New Roman" w:eastAsia="仿宋_GB2312"/>
          <w:b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Times New Roman" w:eastAsia="仿宋_GB2312"/>
          <w:b/>
          <w:sz w:val="32"/>
          <w:szCs w:val="32"/>
          <w:highlight w:val="none"/>
        </w:rPr>
        <w:t>条</w:t>
      </w:r>
      <w:r>
        <w:rPr>
          <w:rFonts w:ascii="仿宋_GB2312" w:hAnsi="Times New Roman" w:eastAsia="仿宋_GB2312"/>
          <w:b/>
          <w:sz w:val="32"/>
          <w:szCs w:val="32"/>
          <w:highlight w:val="none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高端人才发放的费用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不含人事关系所在单位发放的工资，不含湖北省和襄阳市、区政府给予的奖励和补贴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标准均为税前标准，以人民币计算。</w:t>
      </w:r>
    </w:p>
    <w:p w14:paraId="67B1F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both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b/>
          <w:sz w:val="32"/>
          <w:szCs w:val="32"/>
          <w:highlight w:val="none"/>
        </w:rPr>
        <w:t>第</w:t>
      </w:r>
      <w:r>
        <w:rPr>
          <w:rFonts w:hint="eastAsia" w:ascii="仿宋_GB2312" w:hAnsi="Times New Roman" w:eastAsia="仿宋_GB2312"/>
          <w:b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Times New Roman" w:eastAsia="仿宋_GB2312"/>
          <w:b/>
          <w:sz w:val="32"/>
          <w:szCs w:val="32"/>
          <w:highlight w:val="none"/>
        </w:rPr>
        <w:t>条</w:t>
      </w:r>
      <w:r>
        <w:rPr>
          <w:rFonts w:ascii="仿宋_GB2312" w:hAnsi="Times New Roman" w:eastAsia="仿宋_GB2312"/>
          <w:b/>
          <w:sz w:val="32"/>
          <w:szCs w:val="32"/>
          <w:highlight w:val="none"/>
        </w:rPr>
        <w:t xml:space="preserve">  </w:t>
      </w:r>
      <w:r>
        <w:rPr>
          <w:rFonts w:hint="eastAsia" w:ascii="仿宋_GB2312" w:hAnsi="Times New Roman" w:eastAsia="仿宋_GB2312"/>
          <w:bCs/>
          <w:sz w:val="32"/>
          <w:szCs w:val="32"/>
          <w:highlight w:val="none"/>
          <w:lang w:val="en-US" w:eastAsia="zh-CN"/>
        </w:rPr>
        <w:t>高端人才相关费用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从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隆中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实验室运行经费资金中列支。</w:t>
      </w:r>
    </w:p>
    <w:p w14:paraId="5337C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highlight w:val="none"/>
        </w:rPr>
        <w:t>第</w:t>
      </w:r>
      <w:r>
        <w:rPr>
          <w:rFonts w:hint="eastAsia" w:ascii="仿宋_GB2312" w:hAnsi="Times New Roman" w:eastAsia="仿宋_GB2312"/>
          <w:b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Times New Roman" w:eastAsia="仿宋_GB2312"/>
          <w:b/>
          <w:sz w:val="32"/>
          <w:szCs w:val="32"/>
          <w:highlight w:val="none"/>
        </w:rPr>
        <w:t>条</w:t>
      </w:r>
      <w:r>
        <w:rPr>
          <w:rFonts w:ascii="仿宋_GB2312" w:hAnsi="Times New Roman" w:eastAsia="仿宋_GB2312"/>
          <w:b/>
          <w:sz w:val="32"/>
          <w:szCs w:val="32"/>
          <w:highlight w:val="none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本办法由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隆中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实验室负责解释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。</w:t>
      </w:r>
    </w:p>
    <w:p w14:paraId="38831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both"/>
        <w:textAlignment w:val="auto"/>
        <w:rPr>
          <w:highlight w:val="none"/>
        </w:rPr>
      </w:pPr>
      <w:r>
        <w:rPr>
          <w:rFonts w:hint="eastAsia" w:ascii="仿宋_GB2312" w:hAnsi="Times New Roman" w:eastAsia="仿宋_GB2312"/>
          <w:b/>
          <w:sz w:val="32"/>
          <w:szCs w:val="32"/>
          <w:highlight w:val="none"/>
          <w:lang w:val="en-US" w:eastAsia="zh-CN"/>
        </w:rPr>
        <w:t>第八条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 本办法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自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发布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之日起执行。</w:t>
      </w:r>
    </w:p>
    <w:sectPr>
      <w:footerReference r:id="rId4" w:type="default"/>
      <w:footerReference r:id="rId5" w:type="even"/>
      <w:pgSz w:w="11906" w:h="16838"/>
      <w:pgMar w:top="1701" w:right="1474" w:bottom="141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A59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870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64F3BB"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63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6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pZ7TdQAAAAEAQAADwAAAAAAAAABACAAAAAiAAAAZHJzL2Rvd25yZXYueG1sUEsB&#10;AhQAFAAAAAgAh07iQKl9atMyAgAAYA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864F3BB">
                    <w:pPr>
                      <w:pStyle w:val="2"/>
                      <w:rPr>
                        <w:rStyle w:val="6"/>
                        <w:rFonts w:ascii="宋体" w:hAnsi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63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091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0AF13"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63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A0AF13">
                    <w:pPr>
                      <w:pStyle w:val="2"/>
                      <w:rPr>
                        <w:rStyle w:val="6"/>
                        <w:rFonts w:ascii="宋体" w:hAnsi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63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MzAxOTMzZjgzZTNlODA5NTAzNDZhMjIxOTc2ZTIifQ=="/>
  </w:docVars>
  <w:rsids>
    <w:rsidRoot w:val="00A32D53"/>
    <w:rsid w:val="00030202"/>
    <w:rsid w:val="000B0E86"/>
    <w:rsid w:val="001D480F"/>
    <w:rsid w:val="00283E16"/>
    <w:rsid w:val="00400191"/>
    <w:rsid w:val="005D646A"/>
    <w:rsid w:val="007C1E3F"/>
    <w:rsid w:val="009513AD"/>
    <w:rsid w:val="009A489D"/>
    <w:rsid w:val="00A32D53"/>
    <w:rsid w:val="00A404A7"/>
    <w:rsid w:val="00A772E9"/>
    <w:rsid w:val="00B04873"/>
    <w:rsid w:val="00B07038"/>
    <w:rsid w:val="00D75BA2"/>
    <w:rsid w:val="00F5042F"/>
    <w:rsid w:val="00FD112B"/>
    <w:rsid w:val="03410353"/>
    <w:rsid w:val="05910021"/>
    <w:rsid w:val="05E47C85"/>
    <w:rsid w:val="07296720"/>
    <w:rsid w:val="07597377"/>
    <w:rsid w:val="0A890551"/>
    <w:rsid w:val="12FB7E1C"/>
    <w:rsid w:val="15BB5638"/>
    <w:rsid w:val="202820DF"/>
    <w:rsid w:val="22B45EAC"/>
    <w:rsid w:val="2CC86451"/>
    <w:rsid w:val="30761C0B"/>
    <w:rsid w:val="32EC51EE"/>
    <w:rsid w:val="38174ABC"/>
    <w:rsid w:val="390C2146"/>
    <w:rsid w:val="3B985F13"/>
    <w:rsid w:val="3BFB0CA6"/>
    <w:rsid w:val="3F216B2E"/>
    <w:rsid w:val="4575342A"/>
    <w:rsid w:val="484E015A"/>
    <w:rsid w:val="4BB735A3"/>
    <w:rsid w:val="4D6613A0"/>
    <w:rsid w:val="4E214EE8"/>
    <w:rsid w:val="55713605"/>
    <w:rsid w:val="58A91308"/>
    <w:rsid w:val="59036DA4"/>
    <w:rsid w:val="67C97409"/>
    <w:rsid w:val="69E55F18"/>
    <w:rsid w:val="6BED35CA"/>
    <w:rsid w:val="6EA63EC8"/>
    <w:rsid w:val="776F5B23"/>
    <w:rsid w:val="7784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778</Characters>
  <Lines>7</Lines>
  <Paragraphs>2</Paragraphs>
  <TotalTime>1</TotalTime>
  <ScaleCrop>false</ScaleCrop>
  <LinksUpToDate>false</LinksUpToDate>
  <CharactersWithSpaces>796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2022-06-19T07:33:00Z</dcterms:created>
  <dc:creator>张 帆</dc:creator>
  <cp:lastModifiedBy>独家记忆</cp:lastModifiedBy>
  <dcterms:modified xsi:type="dcterms:W3CDTF">2025-08-07T02:49:16Z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9824951FE7A343C08CEED03A838F4283_13</vt:lpwstr>
  </property>
</Properties>
</file>