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湖北隆中实验室会议费管理办法</w:t>
      </w:r>
    </w:p>
    <w:p>
      <w:pPr>
        <w:spacing w:line="700" w:lineRule="exact"/>
        <w:jc w:val="center"/>
        <w:outlineLvl w:val="0"/>
        <w:rPr>
          <w:rFonts w:hint="eastAsia" w:ascii="方正小标宋简体" w:hAnsi="方正小标宋简体" w:eastAsia="方正小标宋简体" w:cs="方正小标宋简体"/>
          <w:b/>
          <w:bCs/>
          <w:kern w:val="0"/>
          <w:sz w:val="44"/>
          <w:szCs w:val="44"/>
        </w:rPr>
      </w:pPr>
    </w:p>
    <w:p>
      <w:pPr>
        <w:spacing w:line="560" w:lineRule="exact"/>
        <w:jc w:val="center"/>
        <w:rPr>
          <w:rFonts w:asciiTheme="minorEastAsia" w:hAnsiTheme="minorEastAsia" w:eastAsiaTheme="minorEastAsia"/>
          <w:b/>
          <w:bCs/>
          <w:sz w:val="32"/>
          <w:szCs w:val="32"/>
        </w:rPr>
      </w:pPr>
      <w:r>
        <w:rPr>
          <w:rFonts w:hint="eastAsia" w:ascii="黑体" w:hAnsi="黑体" w:eastAsia="黑体" w:cs="黑体"/>
          <w:b/>
          <w:bCs/>
          <w:sz w:val="32"/>
          <w:szCs w:val="32"/>
        </w:rPr>
        <w:t>第一章  总则</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Cs/>
          <w:sz w:val="32"/>
          <w:szCs w:val="32"/>
        </w:rPr>
        <w:t xml:space="preserve"> 为规范湖北隆中实验室（以下简称实验室）会议费管理，根据《中央和国家机关会议费管理办法》（财行〔2013〕286号）、《中共中央办公厅、国务院办公厅关于进一步完善中央财政科研项目资金管理等政策的若干意见》（中办发〔2016〕50号）的精神，结合实验室实际情况，制定本办法。</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Cs/>
          <w:sz w:val="32"/>
          <w:szCs w:val="32"/>
        </w:rPr>
        <w:t xml:space="preserve"> 本办法适用于实验室和科研项目承办的国内业务会议及管理会议。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业务会议是指与教学、科研业务活动相关的会议，包括学术会议、学术论坛、研讨会、座谈会、评审会、答辩会、论证会、项目中期检查会、项目验收会等。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业务会议分为科研业务会议和其它业务会议。科研业务会议是指使用科研项目经费召开的教学、科研工作会议。其它业务会议是使用实验室预算经费召开的教学、科研工作会议。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管理会议是指除业务会议之外的其他国内会议。</w:t>
      </w: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第二章  会议管理</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Cs/>
          <w:sz w:val="32"/>
          <w:szCs w:val="32"/>
        </w:rPr>
        <w:t xml:space="preserve"> 会议费使用的管理职责：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会议举办者是会议费的直接责任人，对会议费使用的合规性、合理性、真实性和相关性承担直接责任。会议举办者应了解并遵守有关财经法律法规和会议费管理制度，依法、据实报销会议费。</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会议举办者应当编制会议费预算及审批表（见附件1），履行会议预算及审批程序，预算需列明会议的名称、时间、地点、主要内容、参会人员及人数、经费预算、经费来源等，履行会前审批手续。</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召开科研业务会议，项目经费负责人应按项目合同和工作实际需要，按照厉行节约的原则安排相关会议。在会议费借款（或报销）时需提供会议费预算和会议审批表。</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Cs/>
          <w:sz w:val="32"/>
          <w:szCs w:val="32"/>
        </w:rPr>
        <w:t xml:space="preserve"> 对于集中会审工作，是对事先已进行布置、业已编制完成的报表及数据，集中在某个地点，统一进行技术性、重复性、程式化审核，不列支会议费，不需编写会议预算计划，在相应经费中安排场地租赁费、交通食宿费等。</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Cs/>
          <w:sz w:val="32"/>
          <w:szCs w:val="32"/>
        </w:rPr>
        <w:t xml:space="preserve"> 承办会议不得到党中央、国务院明令禁止的风景名胜区召开。</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Cs/>
          <w:sz w:val="32"/>
          <w:szCs w:val="32"/>
        </w:rPr>
        <w:t xml:space="preserve"> 业务会议的会议次数、天数和参会人数，根据教学、科研活动的实际需要从严控制。管理会议会期一般不得超过2天，报到和离开时间均不得超过1天。</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Cs/>
          <w:sz w:val="32"/>
          <w:szCs w:val="32"/>
        </w:rPr>
        <w:t xml:space="preserve"> 业务会议的工作人员控制在会议代表人数的15%以内。管理会议的工作人员控制在会议代表人数的10%以内。</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Cs/>
          <w:sz w:val="32"/>
          <w:szCs w:val="32"/>
        </w:rPr>
        <w:t xml:space="preserve"> 对于人民团体、学会、协会根据章程、协议召开的会员大会、换届会议、理事会等，不按照会议费综合定额标准结算，参会人数按章程执行，会期按照有关规定执行。</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bCs/>
          <w:sz w:val="32"/>
          <w:szCs w:val="32"/>
        </w:rPr>
        <w:t>对于电视电话会议，应编制会议计划，费用开支标准按与电信部门的协议价格结算，不按照会议费综合定额标准结算，参会人数不受限制，但会场要从严控制，节约支出。</w:t>
      </w:r>
    </w:p>
    <w:p>
      <w:pPr>
        <w:spacing w:line="560" w:lineRule="exact"/>
        <w:jc w:val="center"/>
        <w:rPr>
          <w:rFonts w:ascii="仿宋_GB2312" w:hAnsi="仿宋_GB2312" w:eastAsia="仿宋_GB2312" w:cs="仿宋_GB2312"/>
          <w:b/>
          <w:bCs/>
          <w:sz w:val="32"/>
          <w:szCs w:val="32"/>
        </w:rPr>
      </w:pPr>
      <w:r>
        <w:rPr>
          <w:rFonts w:hint="eastAsia" w:ascii="黑体" w:hAnsi="黑体" w:eastAsia="黑体" w:cs="黑体"/>
          <w:b/>
          <w:bCs/>
          <w:sz w:val="32"/>
          <w:szCs w:val="32"/>
        </w:rPr>
        <w:t>第三章  会议费开支范围、标准和报销</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Cs/>
          <w:sz w:val="32"/>
          <w:szCs w:val="32"/>
        </w:rPr>
        <w:t xml:space="preserve"> 会议费开支范围包括住宿费、伙食费、会议室租金、交通费、文件印刷费、办公用品、医药费等。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交通费是指用于会议代表接送站,以及会议统一组织的代表考察、调研等发生的交通支出。</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Cs/>
          <w:sz w:val="32"/>
          <w:szCs w:val="32"/>
        </w:rPr>
        <w:t xml:space="preserve"> 会议费开支实行综合定额控制，各项费用之间可以调剂使用，应在综合定额标准以内结算报销。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会议费综合定额标准（单位：元/人·天）</w:t>
      </w:r>
    </w:p>
    <w:tbl>
      <w:tblPr>
        <w:tblStyle w:val="4"/>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560"/>
        <w:gridCol w:w="1559"/>
        <w:gridCol w:w="1902"/>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会议类别</w:t>
            </w:r>
          </w:p>
        </w:tc>
        <w:tc>
          <w:tcPr>
            <w:tcW w:w="1560"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住宿费</w:t>
            </w:r>
          </w:p>
        </w:tc>
        <w:tc>
          <w:tcPr>
            <w:tcW w:w="1559"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伙食费</w:t>
            </w:r>
          </w:p>
        </w:tc>
        <w:tc>
          <w:tcPr>
            <w:tcW w:w="1902"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其他费用</w:t>
            </w:r>
          </w:p>
        </w:tc>
        <w:tc>
          <w:tcPr>
            <w:tcW w:w="133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科研业务会议</w:t>
            </w:r>
          </w:p>
        </w:tc>
        <w:tc>
          <w:tcPr>
            <w:tcW w:w="1560"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500</w:t>
            </w:r>
          </w:p>
        </w:tc>
        <w:tc>
          <w:tcPr>
            <w:tcW w:w="1559"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150</w:t>
            </w:r>
          </w:p>
        </w:tc>
        <w:tc>
          <w:tcPr>
            <w:tcW w:w="1902"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110</w:t>
            </w:r>
          </w:p>
        </w:tc>
        <w:tc>
          <w:tcPr>
            <w:tcW w:w="133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其它业务会议</w:t>
            </w:r>
          </w:p>
        </w:tc>
        <w:tc>
          <w:tcPr>
            <w:tcW w:w="1560"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400</w:t>
            </w:r>
          </w:p>
        </w:tc>
        <w:tc>
          <w:tcPr>
            <w:tcW w:w="1559"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150</w:t>
            </w:r>
          </w:p>
        </w:tc>
        <w:tc>
          <w:tcPr>
            <w:tcW w:w="1902"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100</w:t>
            </w:r>
          </w:p>
        </w:tc>
        <w:tc>
          <w:tcPr>
            <w:tcW w:w="133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管理会议</w:t>
            </w:r>
          </w:p>
        </w:tc>
        <w:tc>
          <w:tcPr>
            <w:tcW w:w="1560"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340</w:t>
            </w:r>
          </w:p>
        </w:tc>
        <w:tc>
          <w:tcPr>
            <w:tcW w:w="1559"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130</w:t>
            </w:r>
          </w:p>
        </w:tc>
        <w:tc>
          <w:tcPr>
            <w:tcW w:w="1902"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80</w:t>
            </w:r>
          </w:p>
        </w:tc>
        <w:tc>
          <w:tcPr>
            <w:tcW w:w="1331" w:type="dxa"/>
            <w:shd w:val="clear" w:color="auto" w:fill="auto"/>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550</w:t>
            </w:r>
          </w:p>
        </w:tc>
      </w:tr>
    </w:tbl>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承办会议所收取的会议资料费等，可列入会议费综合定额标准的补充。</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由于特殊情况，科研业务会议经费预算超过会议费综合定额标准的，须经项目负责人和实验室主要负责人严格审批后，方可从会议费列支。</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Cs/>
          <w:sz w:val="32"/>
          <w:szCs w:val="32"/>
        </w:rPr>
        <w:t xml:space="preserve"> 不安排住宿的会议，综合定额按照扣除住宿费后的定额标准执行，住宿费不能调剂使用；不安排就餐的会议，综合定额按照扣除伙食费后的定额标准执行，伙食费不能调剂使用。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科研业务会议，可根据会议安排的实际具体情况，同城会议代表可以安排住宿就餐，并纳入会议费综合控制定额标准。</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Cs/>
          <w:sz w:val="32"/>
          <w:szCs w:val="32"/>
        </w:rPr>
        <w:t xml:space="preserve"> 对未纳入定点范围、价格低于会议费综合定额标准的实验室内部会议室、礼堂、培训中心等，优先作为会议场所。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科研业务会议，其会议场所不受宾馆（酒店）星级限定，但其会议费限额在综合定额标准内支出。</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Cs/>
          <w:sz w:val="32"/>
          <w:szCs w:val="32"/>
        </w:rPr>
        <w:t xml:space="preserve"> 下列费用纳入会议费预算，但不计入会议费综合控制定额，从相应的支出科目中据实列支：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（一）会议代表旅费。会议代表参加会议发生的旅费，原则上回单位报销。对确因工作需要，邀请学者、专家和有关人员参加会议所发生的城市间交通费，可在差旅费中报销。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（二）参会专家人员费用。会议举办者根据工作需要，向邀请参会专家发放咨询费、评审费、劳务费，不在会议费科目列支。</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Cs/>
          <w:sz w:val="32"/>
          <w:szCs w:val="32"/>
        </w:rPr>
        <w:t xml:space="preserve"> 对于全部使用财政资金举办的会议，不得再向参会人员收取费用，严禁转嫁摊派会议费。对于使用多种资金渠道举办的会议，按照成本补偿的原则，可以适当向参会人员收取会议费，收取的标准不能超过综合定额标准，收取的费用列“其他收入”科目。</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Cs/>
          <w:sz w:val="32"/>
          <w:szCs w:val="32"/>
        </w:rPr>
        <w:t xml:space="preserve"> 协助其他单位办会，承担部分会议费的，应签订合同（协议），合同（协议）中列明会议名称、会议议程、参会人数、会议地点、分摊会议费用的理由和比例依据等。管理会议不得列支协助办会经费。</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Cs/>
          <w:sz w:val="32"/>
          <w:szCs w:val="32"/>
        </w:rPr>
        <w:t xml:space="preserve"> 需委托其他单位、会务公司等单位承办的会议，应择优选择委托承办单位并签订合同；会议费预算超过20万元，需按招投标管理程序选择承办单位，严格按照会议费预算和规定的定额标准内报销。</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Cs/>
          <w:sz w:val="32"/>
          <w:szCs w:val="32"/>
        </w:rPr>
        <w:t xml:space="preserve"> 会议结束后应当及时汇总各项资料和票据并办理报销手续。会议费报销时应当提供：</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（一）会议审批表、会议通知（含会议议程）；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（二）会议预算表；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（三）会议费开支的相关票据和会议费支出明细表；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（四）实际参会人员签到表或会议名册（见附件2）；</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（五）会议服务单位提供的费用原始明细单据、电子结算单、委托协议（合同）等资料。</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Cs/>
          <w:sz w:val="32"/>
          <w:szCs w:val="32"/>
        </w:rPr>
        <w:t xml:space="preserve"> 会议费结算按规定应采用转账方式，禁止以现金方式结算。</w:t>
      </w: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第四章  监督检查与责任追究</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Cs/>
          <w:sz w:val="32"/>
          <w:szCs w:val="32"/>
        </w:rPr>
        <w:t xml:space="preserve"> 实验室应加强对会议费的管理，并接受审计及上级主管部门的监督与检查。</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Cs/>
          <w:sz w:val="32"/>
          <w:szCs w:val="32"/>
        </w:rPr>
        <w:t xml:space="preserve"> 实验室应按规定使用会议费，严禁借会议名义组织会餐或安排宴请;严禁套取会议费设立“小金库”;严禁在会议费中列支公务接待费。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Cs/>
          <w:sz w:val="32"/>
          <w:szCs w:val="32"/>
        </w:rPr>
        <w:t xml:space="preserve"> 实验室人才与财务科应对会议费报销情况进行审核。审核的主要内容包括：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（一）会议活动是否按规定履行审批手续；</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（二）会议费开支范围和标准是否符合规定；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（三）会议费报销手续是否符合规定；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（四）会议费管理和使用的其它情况。</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bCs/>
          <w:sz w:val="32"/>
          <w:szCs w:val="32"/>
        </w:rPr>
        <w:t>会议举办人员违反本办法规定,有下列行为之一的,依法依规追究会议举办单位和相关人员的责任:</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 预存、套取会议费，设立“小金库”的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 以虚报、冒领手段骗取会议费的;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 虚报会议人数、天数等手段骗取报销会议费的;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 违规扩大会议费开支范围,擅自提高会议费开支标准的;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 违规报销与会议无关费用的;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 其他违反本办法行为的。</w:t>
      </w: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第五章  附则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Cs/>
          <w:sz w:val="32"/>
          <w:szCs w:val="32"/>
        </w:rPr>
        <w:t xml:space="preserve"> 本办法自发布之日起开始执行。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bCs/>
          <w:sz w:val="32"/>
          <w:szCs w:val="32"/>
        </w:rPr>
        <w:t>本办法由实验室负责解释。</w:t>
      </w:r>
    </w:p>
    <w:p>
      <w:pPr>
        <w:spacing w:line="500" w:lineRule="exact"/>
        <w:ind w:firstLine="137" w:firstLineChars="49"/>
        <w:rPr>
          <w:rFonts w:asciiTheme="minorEastAsia" w:hAnsiTheme="minorEastAsia" w:eastAsiaTheme="minorEastAsia"/>
          <w:bCs/>
          <w:sz w:val="28"/>
          <w:szCs w:val="28"/>
        </w:rPr>
      </w:pPr>
    </w:p>
    <w:p>
      <w:pPr>
        <w:spacing w:after="100" w:afterAutospacing="1" w:line="500" w:lineRule="exact"/>
        <w:rPr>
          <w:rFonts w:ascii="仿宋" w:hAnsi="仿宋" w:eastAsia="仿宋"/>
          <w:bCs/>
          <w:sz w:val="28"/>
          <w:szCs w:val="28"/>
        </w:rPr>
        <w:sectPr>
          <w:headerReference r:id="rId3" w:type="default"/>
          <w:footerReference r:id="rId4" w:type="default"/>
          <w:footerReference r:id="rId5" w:type="even"/>
          <w:pgSz w:w="11906" w:h="16838"/>
          <w:pgMar w:top="1701" w:right="1571" w:bottom="1440" w:left="1571" w:header="851" w:footer="992" w:gutter="0"/>
          <w:pgNumType w:fmt="numberInDash"/>
          <w:cols w:space="425" w:num="1"/>
          <w:docGrid w:type="lines" w:linePitch="312" w:charSpace="0"/>
        </w:sectPr>
      </w:pPr>
      <w:bookmarkStart w:id="0" w:name="抄送"/>
      <w:bookmarkEnd w:id="0"/>
    </w:p>
    <w:tbl>
      <w:tblPr>
        <w:tblStyle w:val="4"/>
        <w:tblpPr w:leftFromText="180" w:rightFromText="180" w:vertAnchor="page" w:horzAnchor="margin" w:tblpY="1621"/>
        <w:tblW w:w="8583" w:type="dxa"/>
        <w:tblInd w:w="0" w:type="dxa"/>
        <w:tblLayout w:type="fixed"/>
        <w:tblCellMar>
          <w:top w:w="0" w:type="dxa"/>
          <w:left w:w="108" w:type="dxa"/>
          <w:bottom w:w="0" w:type="dxa"/>
          <w:right w:w="108" w:type="dxa"/>
        </w:tblCellMar>
      </w:tblPr>
      <w:tblGrid>
        <w:gridCol w:w="2370"/>
        <w:gridCol w:w="846"/>
        <w:gridCol w:w="3107"/>
        <w:gridCol w:w="7"/>
        <w:gridCol w:w="2253"/>
      </w:tblGrid>
      <w:tr>
        <w:tblPrEx>
          <w:tblCellMar>
            <w:top w:w="0" w:type="dxa"/>
            <w:left w:w="108" w:type="dxa"/>
            <w:bottom w:w="0" w:type="dxa"/>
            <w:right w:w="108" w:type="dxa"/>
          </w:tblCellMar>
        </w:tblPrEx>
        <w:trPr>
          <w:trHeight w:val="659" w:hRule="atLeast"/>
        </w:trPr>
        <w:tc>
          <w:tcPr>
            <w:tcW w:w="8583" w:type="dxa"/>
            <w:gridSpan w:val="5"/>
            <w:vAlign w:val="center"/>
          </w:tcPr>
          <w:p>
            <w:pPr>
              <w:widowControl/>
              <w:spacing w:line="500" w:lineRule="exact"/>
              <w:rPr>
                <w:rFonts w:ascii="黑体" w:hAnsi="黑体" w:eastAsia="黑体" w:cs="宋体"/>
                <w:bCs/>
                <w:kern w:val="0"/>
                <w:sz w:val="32"/>
                <w:szCs w:val="32"/>
              </w:rPr>
            </w:pPr>
          </w:p>
          <w:p>
            <w:pPr>
              <w:widowControl/>
              <w:spacing w:line="500" w:lineRule="exact"/>
              <w:rPr>
                <w:rFonts w:ascii="黑体" w:hAnsi="黑体" w:eastAsia="黑体" w:cs="宋体"/>
                <w:bCs/>
                <w:kern w:val="0"/>
                <w:sz w:val="32"/>
                <w:szCs w:val="32"/>
              </w:rPr>
            </w:pPr>
            <w:r>
              <w:rPr>
                <w:rFonts w:hint="eastAsia" w:ascii="黑体" w:hAnsi="黑体" w:eastAsia="黑体" w:cs="宋体"/>
                <w:bCs/>
                <w:kern w:val="0"/>
                <w:sz w:val="32"/>
                <w:szCs w:val="32"/>
              </w:rPr>
              <w:t>附件</w:t>
            </w:r>
            <w:r>
              <w:rPr>
                <w:rFonts w:ascii="黑体" w:hAnsi="黑体" w:eastAsia="黑体" w:cs="宋体"/>
                <w:bCs/>
                <w:kern w:val="0"/>
                <w:sz w:val="32"/>
                <w:szCs w:val="32"/>
              </w:rPr>
              <w:t xml:space="preserve">1 </w:t>
            </w:r>
          </w:p>
          <w:p>
            <w:pPr>
              <w:widowControl/>
              <w:spacing w:line="5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湖北隆中实验室会议预算及审批表</w:t>
            </w:r>
          </w:p>
          <w:p>
            <w:pPr>
              <w:widowControl/>
              <w:spacing w:line="500" w:lineRule="exact"/>
              <w:jc w:val="center"/>
              <w:textAlignment w:val="top"/>
              <w:rPr>
                <w:rFonts w:ascii="仿宋" w:hAnsi="仿宋" w:eastAsia="仿宋" w:cs="宋体"/>
                <w:bCs/>
                <w:kern w:val="0"/>
                <w:sz w:val="28"/>
                <w:szCs w:val="28"/>
              </w:rPr>
            </w:pPr>
            <w:r>
              <w:rPr>
                <w:rFonts w:ascii="仿宋" w:hAnsi="仿宋" w:eastAsia="仿宋" w:cs="宋体"/>
                <w:bCs/>
                <w:kern w:val="0"/>
                <w:sz w:val="28"/>
                <w:szCs w:val="28"/>
              </w:rPr>
              <w:t xml:space="preserve">                     </w:t>
            </w:r>
          </w:p>
          <w:p>
            <w:pPr>
              <w:widowControl/>
              <w:spacing w:line="500" w:lineRule="exact"/>
              <w:jc w:val="right"/>
              <w:textAlignment w:val="top"/>
              <w:rPr>
                <w:rFonts w:ascii="仿宋" w:hAnsi="仿宋" w:eastAsia="仿宋" w:cs="宋体"/>
                <w:bCs/>
                <w:kern w:val="0"/>
                <w:sz w:val="28"/>
                <w:szCs w:val="28"/>
              </w:rPr>
            </w:pPr>
            <w:r>
              <w:rPr>
                <w:rFonts w:ascii="仿宋" w:hAnsi="仿宋" w:eastAsia="仿宋" w:cs="宋体"/>
                <w:bCs/>
                <w:kern w:val="0"/>
                <w:sz w:val="28"/>
                <w:szCs w:val="28"/>
              </w:rPr>
              <w:t xml:space="preserve"> </w:t>
            </w:r>
            <w:r>
              <w:rPr>
                <w:rFonts w:hint="eastAsia" w:ascii="仿宋" w:hAnsi="仿宋" w:eastAsia="仿宋" w:cs="宋体"/>
                <w:bCs/>
                <w:kern w:val="0"/>
                <w:sz w:val="28"/>
                <w:szCs w:val="28"/>
              </w:rPr>
              <w:t>填表日期：</w:t>
            </w:r>
            <w:r>
              <w:rPr>
                <w:rFonts w:ascii="仿宋" w:hAnsi="仿宋" w:eastAsia="仿宋" w:cs="宋体"/>
                <w:bCs/>
                <w:kern w:val="0"/>
                <w:sz w:val="28"/>
                <w:szCs w:val="28"/>
              </w:rPr>
              <w:t xml:space="preserve">    </w:t>
            </w:r>
            <w:r>
              <w:rPr>
                <w:rFonts w:hint="eastAsia" w:ascii="仿宋" w:hAnsi="仿宋" w:eastAsia="仿宋" w:cs="宋体"/>
                <w:bCs/>
                <w:kern w:val="0"/>
                <w:sz w:val="28"/>
                <w:szCs w:val="28"/>
              </w:rPr>
              <w:t>年</w:t>
            </w:r>
            <w:r>
              <w:rPr>
                <w:rFonts w:ascii="仿宋" w:hAnsi="仿宋" w:eastAsia="仿宋" w:cs="宋体"/>
                <w:bCs/>
                <w:kern w:val="0"/>
                <w:sz w:val="28"/>
                <w:szCs w:val="28"/>
              </w:rPr>
              <w:t xml:space="preserve">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w:t>
            </w:r>
          </w:p>
        </w:tc>
      </w:tr>
      <w:tr>
        <w:tblPrEx>
          <w:tblCellMar>
            <w:top w:w="0" w:type="dxa"/>
            <w:left w:w="108" w:type="dxa"/>
            <w:bottom w:w="0" w:type="dxa"/>
            <w:right w:w="108" w:type="dxa"/>
          </w:tblCellMar>
        </w:tblPrEx>
        <w:trPr>
          <w:trHeight w:val="765" w:hRule="atLeast"/>
        </w:trPr>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会议名称</w:t>
            </w:r>
          </w:p>
        </w:tc>
        <w:tc>
          <w:tcPr>
            <w:tcW w:w="6213" w:type="dxa"/>
            <w:gridSpan w:val="4"/>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52" w:hRule="atLeast"/>
        </w:trPr>
        <w:tc>
          <w:tcPr>
            <w:tcW w:w="237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会议时间</w:t>
            </w:r>
          </w:p>
        </w:tc>
        <w:tc>
          <w:tcPr>
            <w:tcW w:w="6213" w:type="dxa"/>
            <w:gridSpan w:val="4"/>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宋体"/>
                <w:bCs/>
                <w:kern w:val="0"/>
                <w:sz w:val="28"/>
                <w:szCs w:val="28"/>
              </w:rPr>
            </w:pPr>
            <w:r>
              <w:rPr>
                <w:rFonts w:hint="eastAsia" w:ascii="仿宋" w:hAnsi="仿宋" w:eastAsia="仿宋" w:cs="宋体"/>
                <w:bCs/>
                <w:kern w:val="0"/>
                <w:sz w:val="28"/>
                <w:szCs w:val="28"/>
              </w:rPr>
              <w:t>年</w:t>
            </w:r>
            <w:r>
              <w:rPr>
                <w:rFonts w:ascii="仿宋" w:hAnsi="仿宋" w:eastAsia="仿宋" w:cs="宋体"/>
                <w:bCs/>
                <w:kern w:val="0"/>
                <w:sz w:val="28"/>
                <w:szCs w:val="28"/>
              </w:rPr>
              <w:t xml:space="preserve">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w:t>
            </w:r>
            <w:r>
              <w:rPr>
                <w:rFonts w:ascii="仿宋" w:hAnsi="仿宋" w:eastAsia="仿宋" w:cs="宋体"/>
                <w:bCs/>
                <w:kern w:val="0"/>
                <w:sz w:val="28"/>
                <w:szCs w:val="28"/>
              </w:rPr>
              <w:t xml:space="preserve">   ——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w:t>
            </w:r>
          </w:p>
          <w:p>
            <w:pPr>
              <w:widowControl/>
              <w:spacing w:line="500" w:lineRule="exact"/>
              <w:jc w:val="center"/>
              <w:rPr>
                <w:rFonts w:ascii="仿宋" w:hAnsi="仿宋" w:eastAsia="仿宋" w:cs="宋体"/>
                <w:kern w:val="0"/>
                <w:sz w:val="28"/>
                <w:szCs w:val="28"/>
              </w:rPr>
            </w:pPr>
            <w:r>
              <w:rPr>
                <w:rFonts w:hint="eastAsia" w:ascii="仿宋" w:hAnsi="仿宋" w:eastAsia="仿宋" w:cs="宋体"/>
                <w:bCs/>
                <w:kern w:val="0"/>
                <w:sz w:val="28"/>
                <w:szCs w:val="28"/>
              </w:rPr>
              <w:t>（共计</w:t>
            </w:r>
            <w:r>
              <w:rPr>
                <w:rFonts w:ascii="仿宋" w:hAnsi="仿宋" w:eastAsia="仿宋" w:cs="宋体"/>
                <w:bCs/>
                <w:kern w:val="0"/>
                <w:sz w:val="28"/>
                <w:szCs w:val="28"/>
              </w:rPr>
              <w:t xml:space="preserve">  </w:t>
            </w:r>
            <w:r>
              <w:rPr>
                <w:rFonts w:hint="eastAsia" w:ascii="仿宋" w:hAnsi="仿宋" w:eastAsia="仿宋" w:cs="宋体"/>
                <w:bCs/>
                <w:kern w:val="0"/>
                <w:sz w:val="28"/>
                <w:szCs w:val="28"/>
              </w:rPr>
              <w:t>天）</w:t>
            </w:r>
          </w:p>
        </w:tc>
      </w:tr>
      <w:tr>
        <w:tblPrEx>
          <w:tblCellMar>
            <w:top w:w="0" w:type="dxa"/>
            <w:left w:w="108" w:type="dxa"/>
            <w:bottom w:w="0" w:type="dxa"/>
            <w:right w:w="108" w:type="dxa"/>
          </w:tblCellMar>
        </w:tblPrEx>
        <w:trPr>
          <w:trHeight w:val="252" w:hRule="atLeast"/>
        </w:trPr>
        <w:tc>
          <w:tcPr>
            <w:tcW w:w="237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会议地点</w:t>
            </w:r>
          </w:p>
        </w:tc>
        <w:tc>
          <w:tcPr>
            <w:tcW w:w="6213" w:type="dxa"/>
            <w:gridSpan w:val="4"/>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725" w:hRule="atLeast"/>
        </w:trPr>
        <w:tc>
          <w:tcPr>
            <w:tcW w:w="237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会议类型</w:t>
            </w:r>
          </w:p>
        </w:tc>
        <w:tc>
          <w:tcPr>
            <w:tcW w:w="6213" w:type="dxa"/>
            <w:gridSpan w:val="4"/>
            <w:tcBorders>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□科研业务会议  □其它业务会议</w:t>
            </w:r>
            <w:r>
              <w:rPr>
                <w:rFonts w:ascii="仿宋" w:hAnsi="仿宋" w:eastAsia="仿宋" w:cs="宋体"/>
                <w:kern w:val="0"/>
                <w:sz w:val="28"/>
                <w:szCs w:val="28"/>
              </w:rPr>
              <w:t xml:space="preserve">  </w:t>
            </w:r>
            <w:r>
              <w:rPr>
                <w:rFonts w:hint="eastAsia" w:ascii="仿宋" w:hAnsi="仿宋" w:eastAsia="仿宋" w:cs="宋体"/>
                <w:kern w:val="0"/>
                <w:sz w:val="28"/>
                <w:szCs w:val="28"/>
              </w:rPr>
              <w:t>□管理会议</w:t>
            </w:r>
          </w:p>
        </w:tc>
      </w:tr>
      <w:tr>
        <w:tblPrEx>
          <w:tblCellMar>
            <w:top w:w="0" w:type="dxa"/>
            <w:left w:w="108" w:type="dxa"/>
            <w:bottom w:w="0" w:type="dxa"/>
            <w:right w:w="108" w:type="dxa"/>
          </w:tblCellMar>
        </w:tblPrEx>
        <w:trPr>
          <w:trHeight w:val="576" w:hRule="atLeast"/>
        </w:trPr>
        <w:tc>
          <w:tcPr>
            <w:tcW w:w="237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参会人数</w:t>
            </w:r>
          </w:p>
        </w:tc>
        <w:tc>
          <w:tcPr>
            <w:tcW w:w="6213" w:type="dxa"/>
            <w:gridSpan w:val="4"/>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sz w:val="28"/>
                <w:szCs w:val="28"/>
              </w:rPr>
            </w:pPr>
            <w:r>
              <w:rPr>
                <w:rFonts w:hint="eastAsia" w:ascii="仿宋" w:hAnsi="仿宋" w:eastAsia="仿宋"/>
                <w:sz w:val="28"/>
                <w:szCs w:val="28"/>
              </w:rPr>
              <w:t>总数</w:t>
            </w:r>
            <w:r>
              <w:rPr>
                <w:rFonts w:ascii="仿宋" w:hAnsi="仿宋" w:eastAsia="仿宋"/>
                <w:sz w:val="28"/>
                <w:szCs w:val="28"/>
              </w:rPr>
              <w:t xml:space="preserve">    </w:t>
            </w:r>
            <w:r>
              <w:rPr>
                <w:rFonts w:hint="eastAsia" w:ascii="仿宋" w:hAnsi="仿宋" w:eastAsia="仿宋"/>
                <w:sz w:val="28"/>
                <w:szCs w:val="28"/>
              </w:rPr>
              <w:t>人（其中参会代表</w:t>
            </w:r>
            <w:r>
              <w:rPr>
                <w:rFonts w:ascii="仿宋" w:hAnsi="仿宋" w:eastAsia="仿宋"/>
                <w:sz w:val="28"/>
                <w:szCs w:val="28"/>
              </w:rPr>
              <w:t xml:space="preserve">    </w:t>
            </w:r>
            <w:r>
              <w:rPr>
                <w:rFonts w:hint="eastAsia" w:ascii="仿宋" w:hAnsi="仿宋" w:eastAsia="仿宋"/>
                <w:sz w:val="28"/>
                <w:szCs w:val="28"/>
              </w:rPr>
              <w:t>人；工作人员</w:t>
            </w:r>
            <w:r>
              <w:rPr>
                <w:rFonts w:ascii="仿宋" w:hAnsi="仿宋" w:eastAsia="仿宋"/>
                <w:sz w:val="28"/>
                <w:szCs w:val="28"/>
              </w:rPr>
              <w:t xml:space="preserve">    </w:t>
            </w:r>
            <w:r>
              <w:rPr>
                <w:rFonts w:hint="eastAsia" w:ascii="仿宋" w:hAnsi="仿宋" w:eastAsia="仿宋"/>
                <w:sz w:val="28"/>
                <w:szCs w:val="28"/>
              </w:rPr>
              <w:t>人）</w:t>
            </w:r>
          </w:p>
        </w:tc>
      </w:tr>
      <w:tr>
        <w:tblPrEx>
          <w:tblCellMar>
            <w:top w:w="0" w:type="dxa"/>
            <w:left w:w="108" w:type="dxa"/>
            <w:bottom w:w="0" w:type="dxa"/>
            <w:right w:w="108" w:type="dxa"/>
          </w:tblCellMar>
        </w:tblPrEx>
        <w:trPr>
          <w:trHeight w:val="536" w:hRule="atLeast"/>
        </w:trPr>
        <w:tc>
          <w:tcPr>
            <w:tcW w:w="2370" w:type="dxa"/>
            <w:tcBorders>
              <w:top w:val="single" w:color="auto" w:sz="4" w:space="0"/>
              <w:left w:val="single" w:color="auto" w:sz="4" w:space="0"/>
              <w:right w:val="single" w:color="auto" w:sz="4" w:space="0"/>
            </w:tcBorders>
            <w:vAlign w:val="center"/>
          </w:tcPr>
          <w:p>
            <w:pPr>
              <w:spacing w:line="500" w:lineRule="exact"/>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会议内容</w:t>
            </w:r>
          </w:p>
        </w:tc>
        <w:tc>
          <w:tcPr>
            <w:tcW w:w="6213" w:type="dxa"/>
            <w:gridSpan w:val="4"/>
            <w:tcBorders>
              <w:top w:val="single" w:color="auto" w:sz="4" w:space="0"/>
              <w:left w:val="single" w:color="auto" w:sz="4" w:space="0"/>
              <w:right w:val="single" w:color="auto" w:sz="4" w:space="0"/>
            </w:tcBorders>
            <w:vAlign w:val="center"/>
          </w:tcPr>
          <w:p>
            <w:pPr>
              <w:widowControl/>
              <w:spacing w:line="500" w:lineRule="exact"/>
              <w:jc w:val="center"/>
              <w:rPr>
                <w:rFonts w:ascii="仿宋" w:hAnsi="仿宋" w:eastAsia="仿宋" w:cs="宋体"/>
                <w:b/>
                <w:bCs/>
                <w:kern w:val="0"/>
                <w:sz w:val="28"/>
                <w:szCs w:val="28"/>
              </w:rPr>
            </w:pPr>
          </w:p>
        </w:tc>
      </w:tr>
      <w:tr>
        <w:tblPrEx>
          <w:tblCellMar>
            <w:top w:w="0" w:type="dxa"/>
            <w:left w:w="108" w:type="dxa"/>
            <w:bottom w:w="0" w:type="dxa"/>
            <w:right w:w="108" w:type="dxa"/>
          </w:tblCellMar>
        </w:tblPrEx>
        <w:trPr>
          <w:trHeight w:val="991" w:hRule="atLeast"/>
        </w:trPr>
        <w:tc>
          <w:tcPr>
            <w:tcW w:w="2370" w:type="dxa"/>
            <w:tcBorders>
              <w:top w:val="single" w:color="auto" w:sz="4" w:space="0"/>
              <w:left w:val="single" w:color="auto" w:sz="4" w:space="0"/>
              <w:right w:val="single" w:color="auto" w:sz="4" w:space="0"/>
            </w:tcBorders>
            <w:vAlign w:val="center"/>
          </w:tcPr>
          <w:p>
            <w:pPr>
              <w:spacing w:line="500" w:lineRule="exact"/>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经费来源</w:t>
            </w:r>
          </w:p>
        </w:tc>
        <w:tc>
          <w:tcPr>
            <w:tcW w:w="6213" w:type="dxa"/>
            <w:gridSpan w:val="4"/>
            <w:tcBorders>
              <w:top w:val="single" w:color="auto" w:sz="4" w:space="0"/>
              <w:left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项目名称：</w:t>
            </w:r>
          </w:p>
          <w:p>
            <w:pPr>
              <w:widowControl/>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金额（万元）：</w:t>
            </w:r>
          </w:p>
        </w:tc>
      </w:tr>
      <w:tr>
        <w:tblPrEx>
          <w:tblCellMar>
            <w:top w:w="0" w:type="dxa"/>
            <w:left w:w="108" w:type="dxa"/>
            <w:bottom w:w="0" w:type="dxa"/>
            <w:right w:w="108" w:type="dxa"/>
          </w:tblCellMar>
        </w:tblPrEx>
        <w:trPr>
          <w:trHeight w:val="1333" w:hRule="atLeast"/>
        </w:trPr>
        <w:tc>
          <w:tcPr>
            <w:tcW w:w="8583"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会议支出预算</w:t>
            </w: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支出项目</w:t>
            </w:r>
          </w:p>
        </w:tc>
        <w:tc>
          <w:tcPr>
            <w:tcW w:w="310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预算金额（万元）</w:t>
            </w: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备注</w:t>
            </w: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住宿费</w:t>
            </w:r>
          </w:p>
        </w:tc>
        <w:tc>
          <w:tcPr>
            <w:tcW w:w="3107"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伙食费</w:t>
            </w:r>
          </w:p>
        </w:tc>
        <w:tc>
          <w:tcPr>
            <w:tcW w:w="3107"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会议室租金</w:t>
            </w:r>
          </w:p>
        </w:tc>
        <w:tc>
          <w:tcPr>
            <w:tcW w:w="3107"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交通费</w:t>
            </w:r>
          </w:p>
        </w:tc>
        <w:tc>
          <w:tcPr>
            <w:tcW w:w="3107"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94" w:hRule="atLeast"/>
        </w:trPr>
        <w:tc>
          <w:tcPr>
            <w:tcW w:w="32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文件印刷费</w:t>
            </w:r>
          </w:p>
        </w:tc>
        <w:tc>
          <w:tcPr>
            <w:tcW w:w="3107"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305" w:hRule="atLeast"/>
        </w:trPr>
        <w:tc>
          <w:tcPr>
            <w:tcW w:w="32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其他</w:t>
            </w:r>
          </w:p>
        </w:tc>
        <w:tc>
          <w:tcPr>
            <w:tcW w:w="311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225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52"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合计</w:t>
            </w:r>
          </w:p>
        </w:tc>
        <w:tc>
          <w:tcPr>
            <w:tcW w:w="310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2260" w:type="dxa"/>
            <w:gridSpan w:val="2"/>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128"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kern w:val="0"/>
                <w:sz w:val="28"/>
                <w:szCs w:val="28"/>
              </w:rPr>
              <w:t>科研项目负责人意见</w:t>
            </w:r>
          </w:p>
        </w:tc>
        <w:tc>
          <w:tcPr>
            <w:tcW w:w="5367" w:type="dxa"/>
            <w:gridSpan w:val="3"/>
            <w:tcBorders>
              <w:top w:val="nil"/>
              <w:left w:val="nil"/>
              <w:bottom w:val="single" w:color="auto" w:sz="4" w:space="0"/>
              <w:right w:val="single" w:color="auto" w:sz="4" w:space="0"/>
            </w:tcBorders>
            <w:vAlign w:val="center"/>
          </w:tcPr>
          <w:p>
            <w:pPr>
              <w:spacing w:line="500" w:lineRule="exact"/>
              <w:rPr>
                <w:rFonts w:ascii="仿宋" w:hAnsi="仿宋" w:eastAsia="仿宋" w:cs="宋体"/>
                <w:kern w:val="0"/>
                <w:sz w:val="28"/>
                <w:szCs w:val="28"/>
              </w:rPr>
            </w:pPr>
            <w:r>
              <w:rPr>
                <w:rFonts w:ascii="仿宋" w:hAnsi="仿宋" w:eastAsia="仿宋" w:cs="宋体"/>
                <w:kern w:val="0"/>
                <w:sz w:val="28"/>
                <w:szCs w:val="28"/>
              </w:rPr>
              <w:t xml:space="preserve">                             </w:t>
            </w:r>
          </w:p>
          <w:p>
            <w:pPr>
              <w:spacing w:line="500" w:lineRule="exact"/>
              <w:ind w:firstLine="2940" w:firstLineChars="1050"/>
              <w:rPr>
                <w:rFonts w:ascii="仿宋" w:hAnsi="仿宋" w:eastAsia="仿宋"/>
                <w:sz w:val="28"/>
                <w:szCs w:val="28"/>
              </w:rPr>
            </w:pPr>
          </w:p>
          <w:p>
            <w:pPr>
              <w:spacing w:line="500" w:lineRule="exact"/>
              <w:ind w:firstLine="2940" w:firstLineChars="1050"/>
              <w:rPr>
                <w:rFonts w:ascii="仿宋" w:hAnsi="仿宋" w:eastAsia="仿宋"/>
                <w:sz w:val="28"/>
                <w:szCs w:val="28"/>
              </w:rPr>
            </w:pPr>
            <w:r>
              <w:rPr>
                <w:rFonts w:hint="eastAsia" w:ascii="仿宋" w:hAnsi="仿宋" w:eastAsia="仿宋"/>
                <w:sz w:val="28"/>
                <w:szCs w:val="28"/>
              </w:rPr>
              <w:t>签字：</w:t>
            </w:r>
          </w:p>
          <w:p>
            <w:pPr>
              <w:spacing w:line="500" w:lineRule="exact"/>
              <w:ind w:firstLine="2940" w:firstLineChars="1050"/>
              <w:rPr>
                <w:rFonts w:ascii="仿宋" w:hAnsi="仿宋" w:eastAsia="仿宋"/>
                <w:sz w:val="28"/>
                <w:szCs w:val="28"/>
              </w:rPr>
            </w:pPr>
          </w:p>
          <w:p>
            <w:pPr>
              <w:spacing w:line="500" w:lineRule="exact"/>
              <w:jc w:val="right"/>
              <w:rPr>
                <w:rFonts w:ascii="仿宋" w:hAnsi="仿宋" w:eastAsia="仿宋" w:cs="宋体"/>
                <w:kern w:val="0"/>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108" w:type="dxa"/>
            <w:bottom w:w="0" w:type="dxa"/>
            <w:right w:w="108" w:type="dxa"/>
          </w:tblCellMar>
        </w:tblPrEx>
        <w:trPr>
          <w:trHeight w:val="846" w:hRule="atLeast"/>
        </w:trPr>
        <w:tc>
          <w:tcPr>
            <w:tcW w:w="3216" w:type="dxa"/>
            <w:gridSpan w:val="2"/>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kern w:val="0"/>
                <w:sz w:val="28"/>
                <w:szCs w:val="28"/>
              </w:rPr>
              <w:t>实验室负责人意见</w:t>
            </w:r>
          </w:p>
        </w:tc>
        <w:tc>
          <w:tcPr>
            <w:tcW w:w="5367" w:type="dxa"/>
            <w:gridSpan w:val="3"/>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sz w:val="28"/>
                <w:szCs w:val="28"/>
              </w:rPr>
            </w:pP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p>
          <w:p>
            <w:pPr>
              <w:spacing w:line="500" w:lineRule="exact"/>
              <w:ind w:firstLine="2940" w:firstLineChars="1050"/>
              <w:rPr>
                <w:rFonts w:ascii="仿宋" w:hAnsi="仿宋" w:eastAsia="仿宋"/>
                <w:sz w:val="28"/>
                <w:szCs w:val="28"/>
              </w:rPr>
            </w:pPr>
            <w:r>
              <w:rPr>
                <w:rFonts w:hint="eastAsia" w:ascii="仿宋" w:hAnsi="仿宋" w:eastAsia="仿宋"/>
                <w:sz w:val="28"/>
                <w:szCs w:val="28"/>
              </w:rPr>
              <w:t>签字：</w:t>
            </w:r>
          </w:p>
          <w:p>
            <w:pPr>
              <w:spacing w:line="500" w:lineRule="exact"/>
              <w:jc w:val="right"/>
              <w:rPr>
                <w:rFonts w:ascii="仿宋" w:hAnsi="仿宋" w:eastAsia="仿宋" w:cs="宋体"/>
                <w:kern w:val="0"/>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spacing w:line="500" w:lineRule="exact"/>
        <w:jc w:val="lef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bookmarkStart w:id="1" w:name="_GoBack"/>
      <w:bookmarkEnd w:id="1"/>
      <w:r>
        <w:rPr>
          <w:rFonts w:hint="eastAsia" w:ascii="黑体" w:hAnsi="黑体" w:eastAsia="黑体"/>
          <w:sz w:val="32"/>
          <w:szCs w:val="32"/>
        </w:rPr>
        <w:t>附件</w:t>
      </w:r>
      <w:r>
        <w:rPr>
          <w:rFonts w:ascii="黑体" w:hAnsi="黑体" w:eastAsia="黑体"/>
          <w:sz w:val="32"/>
          <w:szCs w:val="32"/>
        </w:rPr>
        <w:t>2</w:t>
      </w:r>
    </w:p>
    <w:p>
      <w:pPr>
        <w:widowControl/>
        <w:spacing w:line="500" w:lineRule="exact"/>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湖北隆中实验室会议签到表</w:t>
      </w:r>
    </w:p>
    <w:p>
      <w:pPr>
        <w:widowControl/>
        <w:spacing w:line="500" w:lineRule="exact"/>
        <w:jc w:val="center"/>
        <w:rPr>
          <w:rFonts w:ascii="方正小标宋简体" w:hAnsi="仿宋" w:eastAsia="方正小标宋简体" w:cs="宋体"/>
          <w:bCs/>
          <w:kern w:val="0"/>
          <w:sz w:val="44"/>
          <w:szCs w:val="44"/>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70"/>
        <w:gridCol w:w="1190"/>
        <w:gridCol w:w="19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88" w:type="dxa"/>
            <w:gridSpan w:val="2"/>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会议名称</w:t>
            </w:r>
          </w:p>
        </w:tc>
        <w:tc>
          <w:tcPr>
            <w:tcW w:w="6434" w:type="dxa"/>
            <w:gridSpan w:val="4"/>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88" w:type="dxa"/>
            <w:gridSpan w:val="2"/>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会议时间</w:t>
            </w:r>
          </w:p>
        </w:tc>
        <w:tc>
          <w:tcPr>
            <w:tcW w:w="6434" w:type="dxa"/>
            <w:gridSpan w:val="4"/>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Cs/>
                <w:kern w:val="0"/>
                <w:sz w:val="28"/>
                <w:szCs w:val="28"/>
              </w:rPr>
              <w:t>年</w:t>
            </w:r>
            <w:r>
              <w:rPr>
                <w:rFonts w:ascii="仿宋" w:hAnsi="仿宋" w:eastAsia="仿宋" w:cs="宋体"/>
                <w:bCs/>
                <w:kern w:val="0"/>
                <w:sz w:val="28"/>
                <w:szCs w:val="28"/>
              </w:rPr>
              <w:t xml:space="preserve">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w:t>
            </w:r>
            <w:r>
              <w:rPr>
                <w:rFonts w:ascii="仿宋" w:hAnsi="仿宋" w:eastAsia="仿宋" w:cs="宋体"/>
                <w:bCs/>
                <w:kern w:val="0"/>
                <w:sz w:val="28"/>
                <w:szCs w:val="28"/>
              </w:rPr>
              <w:t xml:space="preserve">   ——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日（共计</w:t>
            </w:r>
            <w:r>
              <w:rPr>
                <w:rFonts w:ascii="仿宋" w:hAnsi="仿宋" w:eastAsia="仿宋" w:cs="宋体"/>
                <w:bCs/>
                <w:kern w:val="0"/>
                <w:sz w:val="28"/>
                <w:szCs w:val="28"/>
              </w:rPr>
              <w:t xml:space="preserve">  </w:t>
            </w:r>
            <w:r>
              <w:rPr>
                <w:rFonts w:hint="eastAsia" w:ascii="仿宋" w:hAnsi="仿宋" w:eastAsia="仿宋" w:cs="宋体"/>
                <w:bCs/>
                <w:kern w:val="0"/>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88" w:type="dxa"/>
            <w:gridSpan w:val="2"/>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会议地点</w:t>
            </w:r>
          </w:p>
        </w:tc>
        <w:tc>
          <w:tcPr>
            <w:tcW w:w="6434" w:type="dxa"/>
            <w:gridSpan w:val="4"/>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序号</w:t>
            </w:r>
          </w:p>
        </w:tc>
        <w:tc>
          <w:tcPr>
            <w:tcW w:w="1260"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姓名</w:t>
            </w:r>
          </w:p>
        </w:tc>
        <w:tc>
          <w:tcPr>
            <w:tcW w:w="1870"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工作单位</w:t>
            </w:r>
          </w:p>
        </w:tc>
        <w:tc>
          <w:tcPr>
            <w:tcW w:w="1190"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职称</w:t>
            </w:r>
          </w:p>
        </w:tc>
        <w:tc>
          <w:tcPr>
            <w:tcW w:w="1980"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联系方式</w:t>
            </w:r>
          </w:p>
        </w:tc>
        <w:tc>
          <w:tcPr>
            <w:tcW w:w="1394" w:type="dxa"/>
            <w:vAlign w:val="center"/>
          </w:tcPr>
          <w:p>
            <w:pPr>
              <w:widowControl/>
              <w:spacing w:line="500" w:lineRule="exact"/>
              <w:jc w:val="center"/>
              <w:rPr>
                <w:rFonts w:ascii="仿宋" w:hAnsi="仿宋" w:eastAsia="仿宋" w:cs="宋体"/>
                <w:b/>
                <w:kern w:val="0"/>
                <w:sz w:val="28"/>
                <w:szCs w:val="28"/>
              </w:rPr>
            </w:pPr>
            <w:r>
              <w:rPr>
                <w:rFonts w:hint="eastAsia" w:ascii="仿宋" w:hAnsi="仿宋" w:eastAsia="仿宋" w:cs="宋体"/>
                <w:b/>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1</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2</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3</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4</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5</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6</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7</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8</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9</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8" w:type="dxa"/>
            <w:vAlign w:val="center"/>
          </w:tcPr>
          <w:p>
            <w:pPr>
              <w:widowControl/>
              <w:spacing w:line="500" w:lineRule="exact"/>
              <w:jc w:val="center"/>
              <w:rPr>
                <w:rFonts w:ascii="仿宋" w:hAnsi="仿宋" w:eastAsia="仿宋" w:cs="宋体"/>
                <w:b/>
                <w:kern w:val="0"/>
                <w:sz w:val="28"/>
                <w:szCs w:val="28"/>
              </w:rPr>
            </w:pPr>
            <w:r>
              <w:rPr>
                <w:rFonts w:ascii="仿宋" w:hAnsi="仿宋" w:eastAsia="仿宋" w:cs="宋体"/>
                <w:b/>
                <w:kern w:val="0"/>
                <w:sz w:val="28"/>
                <w:szCs w:val="28"/>
              </w:rPr>
              <w:t>10</w:t>
            </w:r>
          </w:p>
        </w:tc>
        <w:tc>
          <w:tcPr>
            <w:tcW w:w="1260" w:type="dxa"/>
            <w:vAlign w:val="center"/>
          </w:tcPr>
          <w:p>
            <w:pPr>
              <w:widowControl/>
              <w:spacing w:line="500" w:lineRule="exact"/>
              <w:jc w:val="center"/>
              <w:rPr>
                <w:rFonts w:ascii="仿宋" w:hAnsi="仿宋" w:eastAsia="仿宋" w:cs="宋体"/>
                <w:b/>
                <w:kern w:val="0"/>
                <w:sz w:val="28"/>
                <w:szCs w:val="28"/>
              </w:rPr>
            </w:pPr>
          </w:p>
        </w:tc>
        <w:tc>
          <w:tcPr>
            <w:tcW w:w="1870" w:type="dxa"/>
            <w:vAlign w:val="center"/>
          </w:tcPr>
          <w:p>
            <w:pPr>
              <w:widowControl/>
              <w:spacing w:line="500" w:lineRule="exact"/>
              <w:jc w:val="center"/>
              <w:rPr>
                <w:rFonts w:ascii="仿宋" w:hAnsi="仿宋" w:eastAsia="仿宋" w:cs="宋体"/>
                <w:b/>
                <w:kern w:val="0"/>
                <w:sz w:val="28"/>
                <w:szCs w:val="28"/>
              </w:rPr>
            </w:pPr>
          </w:p>
        </w:tc>
        <w:tc>
          <w:tcPr>
            <w:tcW w:w="1190" w:type="dxa"/>
            <w:vAlign w:val="center"/>
          </w:tcPr>
          <w:p>
            <w:pPr>
              <w:widowControl/>
              <w:spacing w:line="500" w:lineRule="exact"/>
              <w:jc w:val="center"/>
              <w:rPr>
                <w:rFonts w:ascii="仿宋" w:hAnsi="仿宋" w:eastAsia="仿宋" w:cs="宋体"/>
                <w:b/>
                <w:kern w:val="0"/>
                <w:sz w:val="28"/>
                <w:szCs w:val="28"/>
              </w:rPr>
            </w:pPr>
          </w:p>
        </w:tc>
        <w:tc>
          <w:tcPr>
            <w:tcW w:w="1980" w:type="dxa"/>
            <w:vAlign w:val="center"/>
          </w:tcPr>
          <w:p>
            <w:pPr>
              <w:widowControl/>
              <w:spacing w:line="500" w:lineRule="exact"/>
              <w:jc w:val="center"/>
              <w:rPr>
                <w:rFonts w:ascii="仿宋" w:hAnsi="仿宋" w:eastAsia="仿宋" w:cs="宋体"/>
                <w:b/>
                <w:kern w:val="0"/>
                <w:sz w:val="28"/>
                <w:szCs w:val="28"/>
              </w:rPr>
            </w:pPr>
          </w:p>
        </w:tc>
        <w:tc>
          <w:tcPr>
            <w:tcW w:w="1394" w:type="dxa"/>
            <w:vAlign w:val="center"/>
          </w:tcPr>
          <w:p>
            <w:pPr>
              <w:widowControl/>
              <w:spacing w:line="500" w:lineRule="exact"/>
              <w:jc w:val="center"/>
              <w:rPr>
                <w:rFonts w:ascii="仿宋" w:hAnsi="仿宋" w:eastAsia="仿宋" w:cs="宋体"/>
                <w:b/>
                <w:kern w:val="0"/>
                <w:sz w:val="28"/>
                <w:szCs w:val="28"/>
              </w:rPr>
            </w:pPr>
          </w:p>
        </w:tc>
      </w:tr>
    </w:tbl>
    <w:p>
      <w:pPr>
        <w:spacing w:line="500" w:lineRule="exact"/>
        <w:ind w:right="560" w:firstLine="42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（注：不够可加页）</w:t>
      </w:r>
    </w:p>
    <w:p/>
    <w:sectPr>
      <w:pgSz w:w="11906" w:h="16838"/>
      <w:pgMar w:top="2126" w:right="1571" w:bottom="1440" w:left="15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5OWNiMTAwN2I0MjJmNzNiZjVkYzQ1YTFiZmZlZDYifQ=="/>
  </w:docVars>
  <w:rsids>
    <w:rsidRoot w:val="0058752C"/>
    <w:rsid w:val="00025CA5"/>
    <w:rsid w:val="0004779D"/>
    <w:rsid w:val="0006599F"/>
    <w:rsid w:val="0007401A"/>
    <w:rsid w:val="000937A6"/>
    <w:rsid w:val="00095241"/>
    <w:rsid w:val="000A38DA"/>
    <w:rsid w:val="000C5FE4"/>
    <w:rsid w:val="00113A56"/>
    <w:rsid w:val="0013200B"/>
    <w:rsid w:val="00134C5D"/>
    <w:rsid w:val="00147DB9"/>
    <w:rsid w:val="00151005"/>
    <w:rsid w:val="001552B5"/>
    <w:rsid w:val="001712FF"/>
    <w:rsid w:val="00183065"/>
    <w:rsid w:val="001C051D"/>
    <w:rsid w:val="001C3370"/>
    <w:rsid w:val="001D2C54"/>
    <w:rsid w:val="001D6252"/>
    <w:rsid w:val="001D6D8B"/>
    <w:rsid w:val="00211A8D"/>
    <w:rsid w:val="00285D6E"/>
    <w:rsid w:val="00297BD9"/>
    <w:rsid w:val="002B298B"/>
    <w:rsid w:val="002E2DCE"/>
    <w:rsid w:val="002E5289"/>
    <w:rsid w:val="002F2E95"/>
    <w:rsid w:val="002F4438"/>
    <w:rsid w:val="003222B2"/>
    <w:rsid w:val="0033531A"/>
    <w:rsid w:val="00366183"/>
    <w:rsid w:val="003B48F8"/>
    <w:rsid w:val="003D7198"/>
    <w:rsid w:val="003E68F6"/>
    <w:rsid w:val="004043B7"/>
    <w:rsid w:val="004061C5"/>
    <w:rsid w:val="00415605"/>
    <w:rsid w:val="0041751D"/>
    <w:rsid w:val="004576CC"/>
    <w:rsid w:val="00472EEF"/>
    <w:rsid w:val="00472F6D"/>
    <w:rsid w:val="0047313D"/>
    <w:rsid w:val="00495634"/>
    <w:rsid w:val="00502CD4"/>
    <w:rsid w:val="005040A4"/>
    <w:rsid w:val="00511224"/>
    <w:rsid w:val="00514563"/>
    <w:rsid w:val="00537046"/>
    <w:rsid w:val="005535AA"/>
    <w:rsid w:val="00556894"/>
    <w:rsid w:val="005568CD"/>
    <w:rsid w:val="005708D4"/>
    <w:rsid w:val="00586331"/>
    <w:rsid w:val="00587390"/>
    <w:rsid w:val="0058752C"/>
    <w:rsid w:val="00596D90"/>
    <w:rsid w:val="005A538D"/>
    <w:rsid w:val="005B204C"/>
    <w:rsid w:val="005C0979"/>
    <w:rsid w:val="005C2709"/>
    <w:rsid w:val="005D40DF"/>
    <w:rsid w:val="0061267B"/>
    <w:rsid w:val="00612A03"/>
    <w:rsid w:val="00632C10"/>
    <w:rsid w:val="006377F8"/>
    <w:rsid w:val="00644804"/>
    <w:rsid w:val="00656F86"/>
    <w:rsid w:val="00664DC9"/>
    <w:rsid w:val="006776DD"/>
    <w:rsid w:val="00686CCA"/>
    <w:rsid w:val="006912E2"/>
    <w:rsid w:val="006927DB"/>
    <w:rsid w:val="006A10A2"/>
    <w:rsid w:val="006C344B"/>
    <w:rsid w:val="006D089F"/>
    <w:rsid w:val="006D2AF9"/>
    <w:rsid w:val="006D4CFC"/>
    <w:rsid w:val="006D6BC4"/>
    <w:rsid w:val="006F1F7B"/>
    <w:rsid w:val="00707D3A"/>
    <w:rsid w:val="00733DC3"/>
    <w:rsid w:val="007402CE"/>
    <w:rsid w:val="007424CF"/>
    <w:rsid w:val="00753A22"/>
    <w:rsid w:val="007600D9"/>
    <w:rsid w:val="00770047"/>
    <w:rsid w:val="00771141"/>
    <w:rsid w:val="00780B3A"/>
    <w:rsid w:val="00784DDB"/>
    <w:rsid w:val="007932A0"/>
    <w:rsid w:val="007941F5"/>
    <w:rsid w:val="00797F41"/>
    <w:rsid w:val="007A2E7B"/>
    <w:rsid w:val="007B5490"/>
    <w:rsid w:val="007D19C6"/>
    <w:rsid w:val="007D5F62"/>
    <w:rsid w:val="007D7BFD"/>
    <w:rsid w:val="007F5E85"/>
    <w:rsid w:val="0080219C"/>
    <w:rsid w:val="00807FF1"/>
    <w:rsid w:val="0081324F"/>
    <w:rsid w:val="00823F82"/>
    <w:rsid w:val="0083284A"/>
    <w:rsid w:val="00850D9C"/>
    <w:rsid w:val="00854A9F"/>
    <w:rsid w:val="00857A0B"/>
    <w:rsid w:val="00883C22"/>
    <w:rsid w:val="00890BC5"/>
    <w:rsid w:val="0089155B"/>
    <w:rsid w:val="008C2CDD"/>
    <w:rsid w:val="008E05E0"/>
    <w:rsid w:val="008F64D9"/>
    <w:rsid w:val="009008B3"/>
    <w:rsid w:val="00914DA2"/>
    <w:rsid w:val="009721B4"/>
    <w:rsid w:val="0098590B"/>
    <w:rsid w:val="00997685"/>
    <w:rsid w:val="009B22C2"/>
    <w:rsid w:val="009B7287"/>
    <w:rsid w:val="009B7C37"/>
    <w:rsid w:val="009E4F69"/>
    <w:rsid w:val="00A21C6E"/>
    <w:rsid w:val="00A52A9E"/>
    <w:rsid w:val="00A75D41"/>
    <w:rsid w:val="00A84EEE"/>
    <w:rsid w:val="00A91865"/>
    <w:rsid w:val="00AC73B3"/>
    <w:rsid w:val="00AD21F6"/>
    <w:rsid w:val="00B01B10"/>
    <w:rsid w:val="00B42C9D"/>
    <w:rsid w:val="00B47D94"/>
    <w:rsid w:val="00B55F1C"/>
    <w:rsid w:val="00B56BFE"/>
    <w:rsid w:val="00B72DB0"/>
    <w:rsid w:val="00B87045"/>
    <w:rsid w:val="00BA0552"/>
    <w:rsid w:val="00BB2EE4"/>
    <w:rsid w:val="00BB3091"/>
    <w:rsid w:val="00BC2D74"/>
    <w:rsid w:val="00BD3F10"/>
    <w:rsid w:val="00C002E9"/>
    <w:rsid w:val="00C0247E"/>
    <w:rsid w:val="00C026B6"/>
    <w:rsid w:val="00C15BEF"/>
    <w:rsid w:val="00C27BDF"/>
    <w:rsid w:val="00C456C4"/>
    <w:rsid w:val="00C46405"/>
    <w:rsid w:val="00C51D7D"/>
    <w:rsid w:val="00C74C96"/>
    <w:rsid w:val="00C931B4"/>
    <w:rsid w:val="00CA55F3"/>
    <w:rsid w:val="00D07037"/>
    <w:rsid w:val="00D2507B"/>
    <w:rsid w:val="00D336B5"/>
    <w:rsid w:val="00D5533D"/>
    <w:rsid w:val="00DC593C"/>
    <w:rsid w:val="00DC77A7"/>
    <w:rsid w:val="00DD2714"/>
    <w:rsid w:val="00DE45F0"/>
    <w:rsid w:val="00DE60F8"/>
    <w:rsid w:val="00E222A4"/>
    <w:rsid w:val="00E24EDF"/>
    <w:rsid w:val="00E31363"/>
    <w:rsid w:val="00E34D7D"/>
    <w:rsid w:val="00E42A85"/>
    <w:rsid w:val="00E45C4A"/>
    <w:rsid w:val="00E565A2"/>
    <w:rsid w:val="00E65221"/>
    <w:rsid w:val="00E741E8"/>
    <w:rsid w:val="00E8225F"/>
    <w:rsid w:val="00E912DA"/>
    <w:rsid w:val="00EA68E7"/>
    <w:rsid w:val="00EC7FB1"/>
    <w:rsid w:val="00ED0869"/>
    <w:rsid w:val="00ED2323"/>
    <w:rsid w:val="00EF668C"/>
    <w:rsid w:val="00F63565"/>
    <w:rsid w:val="00FB042B"/>
    <w:rsid w:val="00FD2CDE"/>
    <w:rsid w:val="00FD3452"/>
    <w:rsid w:val="00FD7C48"/>
    <w:rsid w:val="00FE5E56"/>
    <w:rsid w:val="0BCD6AE0"/>
    <w:rsid w:val="186B5164"/>
    <w:rsid w:val="198509FA"/>
    <w:rsid w:val="24405643"/>
    <w:rsid w:val="265A46F7"/>
    <w:rsid w:val="29916F47"/>
    <w:rsid w:val="29A76761"/>
    <w:rsid w:val="38AA3B82"/>
    <w:rsid w:val="5B2F1F99"/>
    <w:rsid w:val="5D8C26F0"/>
    <w:rsid w:val="696A6892"/>
    <w:rsid w:val="749D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uiPriority w:val="0"/>
  </w:style>
  <w:style w:type="character" w:customStyle="1" w:styleId="7">
    <w:name w:val="页脚 字符"/>
    <w:link w:val="2"/>
    <w:uiPriority w:val="99"/>
    <w:rPr>
      <w:sz w:val="18"/>
      <w:szCs w:val="18"/>
    </w:rPr>
  </w:style>
  <w:style w:type="character" w:customStyle="1" w:styleId="8">
    <w:name w:val="页眉 字符"/>
    <w:link w:val="3"/>
    <w:uiPriority w:val="99"/>
    <w:rPr>
      <w:sz w:val="18"/>
      <w:szCs w:val="18"/>
    </w:rPr>
  </w:style>
  <w:style w:type="character" w:customStyle="1" w:styleId="9">
    <w:name w:val="页眉 Char1"/>
    <w:basedOn w:val="5"/>
    <w:semiHidden/>
    <w:uiPriority w:val="99"/>
    <w:rPr>
      <w:rFonts w:ascii="Calibri" w:hAnsi="Calibri" w:eastAsia="宋体" w:cs="Times New Roman"/>
      <w:sz w:val="18"/>
      <w:szCs w:val="18"/>
    </w:rPr>
  </w:style>
  <w:style w:type="character" w:customStyle="1" w:styleId="10">
    <w:name w:val="页脚 Char1"/>
    <w:basedOn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WHUT</Company>
  <Pages>9</Pages>
  <Words>3015</Words>
  <Characters>3053</Characters>
  <Lines>25</Lines>
  <Paragraphs>7</Paragraphs>
  <TotalTime>93</TotalTime>
  <ScaleCrop>false</ScaleCrop>
  <LinksUpToDate>false</LinksUpToDate>
  <CharactersWithSpaces>3355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2016-09-07T09:28:00Z</dcterms:created>
  <dc:creator>校办秘书科(xbmsk)</dc:creator>
  <cp:lastModifiedBy>if</cp:lastModifiedBy>
  <dcterms:modified xsi:type="dcterms:W3CDTF">2024-06-12T06:58:19Z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3BA772AC62E5483A8BAE99964F762F31_12</vt:lpwstr>
  </property>
</Properties>
</file>